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3B8" w:rsidRPr="00833A76" w:rsidRDefault="004F63B8" w:rsidP="00833A76">
      <w:pPr>
        <w:spacing w:line="480" w:lineRule="auto"/>
        <w:jc w:val="center"/>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jc w:val="center"/>
        <w:rPr>
          <w:rFonts w:ascii="Times New Roman" w:hAnsi="Times New Roman" w:cs="Times New Roman"/>
          <w:sz w:val="24"/>
          <w:szCs w:val="24"/>
        </w:rPr>
      </w:pPr>
    </w:p>
    <w:p w:rsidR="004F63B8" w:rsidRPr="00833A76" w:rsidRDefault="004F63B8" w:rsidP="00833A76">
      <w:pPr>
        <w:spacing w:line="480" w:lineRule="auto"/>
        <w:jc w:val="center"/>
        <w:rPr>
          <w:rFonts w:ascii="Times New Roman" w:hAnsi="Times New Roman" w:cs="Times New Roman"/>
          <w:sz w:val="24"/>
          <w:szCs w:val="24"/>
        </w:rPr>
      </w:pPr>
    </w:p>
    <w:p w:rsidR="004F63B8" w:rsidRPr="00833A76" w:rsidRDefault="00833A76" w:rsidP="00833A76">
      <w:pPr>
        <w:spacing w:line="480" w:lineRule="auto"/>
        <w:jc w:val="center"/>
        <w:rPr>
          <w:rFonts w:ascii="Times New Roman" w:hAnsi="Times New Roman" w:cs="Times New Roman"/>
          <w:sz w:val="24"/>
          <w:szCs w:val="24"/>
        </w:rPr>
      </w:pPr>
      <w:r w:rsidRPr="00833A76">
        <w:rPr>
          <w:rFonts w:ascii="Times New Roman" w:hAnsi="Times New Roman" w:cs="Times New Roman"/>
          <w:sz w:val="24"/>
          <w:szCs w:val="24"/>
        </w:rPr>
        <w:t>LITERATURE REVIEW OF FIVE ARTICLES</w:t>
      </w:r>
    </w:p>
    <w:p w:rsidR="004F63B8" w:rsidRPr="00833A76" w:rsidRDefault="00833A76" w:rsidP="00833A76">
      <w:pPr>
        <w:spacing w:line="480" w:lineRule="auto"/>
        <w:jc w:val="center"/>
        <w:rPr>
          <w:rFonts w:ascii="Times New Roman" w:hAnsi="Times New Roman" w:cs="Times New Roman"/>
          <w:sz w:val="24"/>
          <w:szCs w:val="24"/>
        </w:rPr>
      </w:pPr>
      <w:r w:rsidRPr="00833A76">
        <w:rPr>
          <w:rFonts w:ascii="Times New Roman" w:hAnsi="Times New Roman" w:cs="Times New Roman"/>
          <w:sz w:val="24"/>
          <w:szCs w:val="24"/>
        </w:rPr>
        <w:t>STUDENTS NAME</w:t>
      </w:r>
    </w:p>
    <w:p w:rsidR="004F63B8" w:rsidRPr="00833A76" w:rsidRDefault="00833A76" w:rsidP="00833A76">
      <w:pPr>
        <w:spacing w:line="480" w:lineRule="auto"/>
        <w:jc w:val="center"/>
        <w:rPr>
          <w:rFonts w:ascii="Times New Roman" w:hAnsi="Times New Roman" w:cs="Times New Roman"/>
          <w:sz w:val="24"/>
          <w:szCs w:val="24"/>
        </w:rPr>
      </w:pPr>
      <w:r w:rsidRPr="00833A76">
        <w:rPr>
          <w:rFonts w:ascii="Times New Roman" w:hAnsi="Times New Roman" w:cs="Times New Roman"/>
          <w:sz w:val="24"/>
          <w:szCs w:val="24"/>
        </w:rPr>
        <w:t>INSTITUTION AFFILIATION</w:t>
      </w: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CF147E" w:rsidRPr="00833A76" w:rsidRDefault="00833A76" w:rsidP="00833A76">
      <w:pPr>
        <w:spacing w:line="480" w:lineRule="auto"/>
        <w:jc w:val="center"/>
        <w:rPr>
          <w:rFonts w:ascii="Times New Roman" w:hAnsi="Times New Roman" w:cs="Times New Roman"/>
          <w:b/>
          <w:sz w:val="24"/>
          <w:szCs w:val="24"/>
        </w:rPr>
      </w:pPr>
      <w:r w:rsidRPr="00833A76">
        <w:rPr>
          <w:rFonts w:ascii="Times New Roman" w:hAnsi="Times New Roman" w:cs="Times New Roman"/>
          <w:b/>
          <w:sz w:val="24"/>
          <w:szCs w:val="24"/>
        </w:rPr>
        <w:lastRenderedPageBreak/>
        <w:t>Untangling the Grip of White Privilege in Education through Consultation and Systems Change</w:t>
      </w:r>
    </w:p>
    <w:p w:rsidR="00CF2419"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Introduction</w:t>
      </w:r>
    </w:p>
    <w:p w:rsidR="0032103A"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The grip of white privilege in the education system has existed for decades. The privileges have been shown in many ways, like the power to access an educational resource, provide control, and attain academic success. This article is very direct from the r</w:t>
      </w:r>
      <w:r w:rsidRPr="00833A76">
        <w:rPr>
          <w:rFonts w:ascii="Times New Roman" w:hAnsi="Times New Roman" w:cs="Times New Roman"/>
          <w:sz w:val="24"/>
          <w:szCs w:val="24"/>
        </w:rPr>
        <w:t>eality of how whites are given privileges in educational settings. The racism issue has been used openly to show how whites' privilege is centered on the education setting.</w:t>
      </w:r>
    </w:p>
    <w:p w:rsidR="003D1D0F"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The issue of racism has existed historically, and it's still existing currently in </w:t>
      </w:r>
      <w:r w:rsidRPr="00833A76">
        <w:rPr>
          <w:rFonts w:ascii="Times New Roman" w:hAnsi="Times New Roman" w:cs="Times New Roman"/>
          <w:sz w:val="24"/>
          <w:szCs w:val="24"/>
        </w:rPr>
        <w:t>the US in higher education systems and even extending to K- 12</w:t>
      </w:r>
      <w:r w:rsidR="00DC52A3" w:rsidRPr="00833A76">
        <w:rPr>
          <w:rFonts w:ascii="Times New Roman" w:hAnsi="Times New Roman" w:cs="Times New Roman"/>
          <w:sz w:val="24"/>
          <w:szCs w:val="24"/>
        </w:rPr>
        <w:t xml:space="preserve"> (Schumacher &amp; Proctor, 2020)</w:t>
      </w:r>
      <w:r w:rsidRPr="00833A76">
        <w:rPr>
          <w:rFonts w:ascii="Times New Roman" w:hAnsi="Times New Roman" w:cs="Times New Roman"/>
          <w:sz w:val="24"/>
          <w:szCs w:val="24"/>
        </w:rPr>
        <w:t xml:space="preserve">. </w:t>
      </w:r>
      <w:r w:rsidR="00F84F03" w:rsidRPr="00833A76">
        <w:rPr>
          <w:rFonts w:ascii="Times New Roman" w:hAnsi="Times New Roman" w:cs="Times New Roman"/>
          <w:sz w:val="24"/>
          <w:szCs w:val="24"/>
        </w:rPr>
        <w:t xml:space="preserve">This gives a clear reflection to understand how powers in the education system are privileged to the whites. White privilege can either be structural or individual meant to oppress people of color while praising white supremacy. </w:t>
      </w:r>
      <w:r w:rsidR="00DC52A3" w:rsidRPr="00833A76">
        <w:rPr>
          <w:rFonts w:ascii="Times New Roman" w:hAnsi="Times New Roman" w:cs="Times New Roman"/>
          <w:sz w:val="24"/>
          <w:szCs w:val="24"/>
        </w:rPr>
        <w:t xml:space="preserve">Schumacher &amp; Proctor (2020) </w:t>
      </w:r>
      <w:r w:rsidR="00F84F03" w:rsidRPr="00833A76">
        <w:rPr>
          <w:rFonts w:ascii="Times New Roman" w:hAnsi="Times New Roman" w:cs="Times New Roman"/>
          <w:sz w:val="24"/>
          <w:szCs w:val="24"/>
        </w:rPr>
        <w:t>looked upon how education systems engrossed by white supremacy can be untangled and stop the oppression of those deemed.</w:t>
      </w:r>
    </w:p>
    <w:p w:rsidR="007B4721"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The challenge of racism has </w:t>
      </w:r>
      <w:r w:rsidR="003D1D0F" w:rsidRPr="00833A76">
        <w:rPr>
          <w:rFonts w:ascii="Times New Roman" w:hAnsi="Times New Roman" w:cs="Times New Roman"/>
          <w:sz w:val="24"/>
          <w:szCs w:val="24"/>
        </w:rPr>
        <w:t>significant effects both on students’ educational experience as well as end results.</w:t>
      </w:r>
      <w:r w:rsidR="00DC52A3" w:rsidRPr="00833A76">
        <w:rPr>
          <w:rFonts w:ascii="Times New Roman" w:hAnsi="Times New Roman" w:cs="Times New Roman"/>
          <w:sz w:val="24"/>
          <w:szCs w:val="24"/>
        </w:rPr>
        <w:t xml:space="preserve"> According to Schumacher &amp; Proctor (2020) research</w:t>
      </w:r>
      <w:r w:rsidR="003D1D0F" w:rsidRPr="00833A76">
        <w:rPr>
          <w:rFonts w:ascii="Times New Roman" w:hAnsi="Times New Roman" w:cs="Times New Roman"/>
          <w:sz w:val="24"/>
          <w:szCs w:val="24"/>
        </w:rPr>
        <w:t>, educators may have a different perspective on the existing challenges faced by students of color instead of making an analysis and some acknowledgement on the systematic and ecological factors that affects students’ accessibility and inclusivity in their schools.</w:t>
      </w:r>
      <w:r w:rsidRPr="00833A76">
        <w:rPr>
          <w:rFonts w:ascii="Times New Roman" w:hAnsi="Times New Roman" w:cs="Times New Roman"/>
          <w:sz w:val="24"/>
          <w:szCs w:val="24"/>
        </w:rPr>
        <w:t xml:space="preserve"> One challenge that contributes to white privilege is that whiteness is norma</w:t>
      </w:r>
      <w:r w:rsidR="00DC52A3" w:rsidRPr="00833A76">
        <w:rPr>
          <w:rFonts w:ascii="Times New Roman" w:hAnsi="Times New Roman" w:cs="Times New Roman"/>
          <w:sz w:val="24"/>
          <w:szCs w:val="24"/>
        </w:rPr>
        <w:t>l (Schumacher &amp; Proctor, 2020)</w:t>
      </w:r>
      <w:r w:rsidRPr="00833A76">
        <w:rPr>
          <w:rFonts w:ascii="Times New Roman" w:hAnsi="Times New Roman" w:cs="Times New Roman"/>
          <w:sz w:val="24"/>
          <w:szCs w:val="24"/>
        </w:rPr>
        <w:t>. This is a great c</w:t>
      </w:r>
      <w:r w:rsidRPr="00833A76">
        <w:rPr>
          <w:rFonts w:ascii="Times New Roman" w:hAnsi="Times New Roman" w:cs="Times New Roman"/>
          <w:sz w:val="24"/>
          <w:szCs w:val="24"/>
        </w:rPr>
        <w:t xml:space="preserve">hallenge in schools, and it requires substantial involvement at a system level to shape the education system and create an environment that fits all students. Educators should also gear up through constant interrogations to dismantle the education system, </w:t>
      </w:r>
      <w:r w:rsidRPr="00833A76">
        <w:rPr>
          <w:rFonts w:ascii="Times New Roman" w:hAnsi="Times New Roman" w:cs="Times New Roman"/>
          <w:sz w:val="24"/>
          <w:szCs w:val="24"/>
        </w:rPr>
        <w:t>which groups students as different if they are not white.</w:t>
      </w:r>
    </w:p>
    <w:p w:rsidR="007B4721"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Conclusion</w:t>
      </w:r>
    </w:p>
    <w:p w:rsidR="00B22024"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To develop a one-person society, especially in the education system, racism must be fought, as discussed in the article. Also, the article's recommendations to fight white privilege are u</w:t>
      </w:r>
      <w:r w:rsidRPr="00833A76">
        <w:rPr>
          <w:rFonts w:ascii="Times New Roman" w:hAnsi="Times New Roman" w:cs="Times New Roman"/>
          <w:sz w:val="24"/>
          <w:szCs w:val="24"/>
        </w:rPr>
        <w:t>seful and confident to produce positive results when properly implemented. One of the suggested recommendations is using consultation techniques to stop white omnipotence in oppressing students of color in the education system.</w:t>
      </w:r>
    </w:p>
    <w:p w:rsidR="00DC52A3" w:rsidRPr="00833A76" w:rsidRDefault="00DC52A3" w:rsidP="00833A76">
      <w:pPr>
        <w:spacing w:line="480" w:lineRule="auto"/>
        <w:rPr>
          <w:rFonts w:ascii="Times New Roman" w:hAnsi="Times New Roman" w:cs="Times New Roman"/>
          <w:sz w:val="24"/>
          <w:szCs w:val="24"/>
        </w:rPr>
      </w:pPr>
    </w:p>
    <w:p w:rsidR="00DC52A3" w:rsidRPr="00833A76" w:rsidRDefault="00DC52A3" w:rsidP="00833A76">
      <w:pPr>
        <w:spacing w:line="480" w:lineRule="auto"/>
        <w:rPr>
          <w:rFonts w:ascii="Times New Roman" w:hAnsi="Times New Roman" w:cs="Times New Roman"/>
          <w:sz w:val="24"/>
          <w:szCs w:val="24"/>
        </w:rPr>
      </w:pPr>
    </w:p>
    <w:p w:rsidR="00B22024" w:rsidRPr="00833A76" w:rsidRDefault="00833A76" w:rsidP="00833A76">
      <w:pPr>
        <w:spacing w:line="480" w:lineRule="auto"/>
        <w:jc w:val="center"/>
        <w:rPr>
          <w:rFonts w:ascii="Times New Roman" w:hAnsi="Times New Roman" w:cs="Times New Roman"/>
          <w:b/>
          <w:sz w:val="24"/>
          <w:szCs w:val="24"/>
        </w:rPr>
      </w:pPr>
      <w:r w:rsidRPr="00833A76">
        <w:rPr>
          <w:rFonts w:ascii="Times New Roman" w:hAnsi="Times New Roman" w:cs="Times New Roman"/>
          <w:b/>
          <w:sz w:val="24"/>
          <w:szCs w:val="24"/>
        </w:rPr>
        <w:t>White Fragility and the Pu</w:t>
      </w:r>
      <w:r w:rsidRPr="00833A76">
        <w:rPr>
          <w:rFonts w:ascii="Times New Roman" w:hAnsi="Times New Roman" w:cs="Times New Roman"/>
          <w:b/>
          <w:sz w:val="24"/>
          <w:szCs w:val="24"/>
        </w:rPr>
        <w:t>rsuit of Invulnerability</w:t>
      </w:r>
    </w:p>
    <w:p w:rsidR="00EB1C59"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 xml:space="preserve">Introduction </w:t>
      </w:r>
    </w:p>
    <w:p w:rsidR="002B4910"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"White Fragility" is a name that explains the pervasive drill in which white persons respond with a series of defensive moves to pay off the distress caused by the many challenges to their racial worldviews. In this a</w:t>
      </w:r>
      <w:r w:rsidRPr="00833A76">
        <w:rPr>
          <w:rFonts w:ascii="Times New Roman" w:hAnsi="Times New Roman" w:cs="Times New Roman"/>
          <w:sz w:val="24"/>
          <w:szCs w:val="24"/>
        </w:rPr>
        <w:t xml:space="preserve">rticle, the research addressed the implications of </w:t>
      </w:r>
      <w:r w:rsidR="00EF7DFD" w:rsidRPr="00833A76">
        <w:rPr>
          <w:rFonts w:ascii="Times New Roman" w:hAnsi="Times New Roman" w:cs="Times New Roman"/>
          <w:sz w:val="24"/>
          <w:szCs w:val="24"/>
        </w:rPr>
        <w:t xml:space="preserve">"comforting discomfort" as well as the concept of "white fragility and the pursuit of invulnerability" to elaborate the penchant of white people to abscond discomfort instead of remaining with it. Also, the author mentioned that white fragility is a result of invulnerability. To find the solution for white fragility, </w:t>
      </w:r>
      <w:r w:rsidR="0060698E" w:rsidRPr="00833A76">
        <w:rPr>
          <w:rFonts w:ascii="Times New Roman" w:hAnsi="Times New Roman" w:cs="Times New Roman"/>
          <w:sz w:val="24"/>
          <w:szCs w:val="24"/>
        </w:rPr>
        <w:t xml:space="preserve">Applebaum (2017) </w:t>
      </w:r>
      <w:r w:rsidRPr="00833A76">
        <w:rPr>
          <w:rFonts w:ascii="Times New Roman" w:hAnsi="Times New Roman" w:cs="Times New Roman"/>
          <w:sz w:val="24"/>
          <w:szCs w:val="24"/>
        </w:rPr>
        <w:t>suggested that developing vulnerability can be effective, and this can be done by providing substantial hope.</w:t>
      </w:r>
    </w:p>
    <w:p w:rsidR="001F1BCA"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Applebaum's (20</w:t>
      </w:r>
      <w:r w:rsidRPr="00833A76">
        <w:rPr>
          <w:rFonts w:ascii="Times New Roman" w:hAnsi="Times New Roman" w:cs="Times New Roman"/>
          <w:sz w:val="24"/>
          <w:szCs w:val="24"/>
        </w:rPr>
        <w:t xml:space="preserve">17) </w:t>
      </w:r>
      <w:r w:rsidR="002B4910" w:rsidRPr="00833A76">
        <w:rPr>
          <w:rFonts w:ascii="Times New Roman" w:hAnsi="Times New Roman" w:cs="Times New Roman"/>
          <w:sz w:val="24"/>
          <w:szCs w:val="24"/>
        </w:rPr>
        <w:t>main focus was on using instructive means to create comfort discomfort in the social justice classroom.</w:t>
      </w:r>
      <w:r w:rsidRPr="00833A76">
        <w:rPr>
          <w:rFonts w:ascii="Times New Roman" w:hAnsi="Times New Roman" w:cs="Times New Roman"/>
          <w:sz w:val="24"/>
          <w:szCs w:val="24"/>
        </w:rPr>
        <w:t xml:space="preserve"> The researcher</w:t>
      </w:r>
      <w:r w:rsidR="002B4910" w:rsidRPr="00833A76">
        <w:rPr>
          <w:rFonts w:ascii="Times New Roman" w:hAnsi="Times New Roman" w:cs="Times New Roman"/>
          <w:sz w:val="24"/>
          <w:szCs w:val="24"/>
        </w:rPr>
        <w:t xml:space="preserve"> found a great </w:t>
      </w:r>
      <w:r w:rsidR="00FB6FA0" w:rsidRPr="00833A76">
        <w:rPr>
          <w:rFonts w:ascii="Times New Roman" w:hAnsi="Times New Roman" w:cs="Times New Roman"/>
          <w:sz w:val="24"/>
          <w:szCs w:val="24"/>
        </w:rPr>
        <w:t>possibility</w:t>
      </w:r>
      <w:r w:rsidR="002B4910" w:rsidRPr="00833A76">
        <w:rPr>
          <w:rFonts w:ascii="Times New Roman" w:hAnsi="Times New Roman" w:cs="Times New Roman"/>
          <w:sz w:val="24"/>
          <w:szCs w:val="24"/>
        </w:rPr>
        <w:t xml:space="preserve"> that one may support a white student without decentering their emotional crisis or without paying attention to the interest of other students of color.</w:t>
      </w:r>
      <w:r w:rsidRPr="00833A76">
        <w:rPr>
          <w:rFonts w:ascii="Times New Roman" w:hAnsi="Times New Roman" w:cs="Times New Roman"/>
          <w:sz w:val="24"/>
          <w:szCs w:val="24"/>
        </w:rPr>
        <w:t xml:space="preserve"> In his work, Applebaum (2017) </w:t>
      </w:r>
      <w:r w:rsidR="00FB6FA0" w:rsidRPr="00833A76">
        <w:rPr>
          <w:rFonts w:ascii="Times New Roman" w:hAnsi="Times New Roman" w:cs="Times New Roman"/>
          <w:sz w:val="24"/>
          <w:szCs w:val="24"/>
        </w:rPr>
        <w:t>argues that the purpose of social justice education is to upset the man's beliefs and other practices to create discomfort, which is an essential instrument for catalyzing growth and learning.</w:t>
      </w:r>
    </w:p>
    <w:p w:rsidR="008B4B6A"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According to</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Applebaum (2017), some of the coinciding factors contributing to white fragility are; the dominant beliefs, segregation, en</w:t>
      </w:r>
      <w:r w:rsidRPr="00833A76">
        <w:rPr>
          <w:rFonts w:ascii="Times New Roman" w:hAnsi="Times New Roman" w:cs="Times New Roman"/>
          <w:sz w:val="24"/>
          <w:szCs w:val="24"/>
        </w:rPr>
        <w:t>titlements to racial zones, arrogance on racism, racial belonging, psychic freedom, and the perception that whites are more superior to people of color.</w:t>
      </w:r>
      <w:r w:rsidRPr="00833A76">
        <w:rPr>
          <w:rFonts w:ascii="Times New Roman" w:hAnsi="Times New Roman" w:cs="Times New Roman"/>
          <w:sz w:val="24"/>
          <w:szCs w:val="24"/>
        </w:rPr>
        <w:t xml:space="preserve"> A</w:t>
      </w:r>
      <w:r w:rsidRPr="00833A76">
        <w:rPr>
          <w:rFonts w:ascii="Times New Roman" w:hAnsi="Times New Roman" w:cs="Times New Roman"/>
          <w:sz w:val="24"/>
          <w:szCs w:val="24"/>
        </w:rPr>
        <w:t xml:space="preserve">pplebaum (2017) </w:t>
      </w:r>
      <w:r w:rsidR="00FB6FA0" w:rsidRPr="00833A76">
        <w:rPr>
          <w:rFonts w:ascii="Times New Roman" w:hAnsi="Times New Roman" w:cs="Times New Roman"/>
          <w:sz w:val="24"/>
          <w:szCs w:val="24"/>
        </w:rPr>
        <w:t xml:space="preserve">mentions that the changing of instructive means to discomfort encourages students and educators to move out of their comfort zones by looking at their most valued beliefs and usual temperaments to create an environment </w:t>
      </w:r>
      <w:r w:rsidR="001F1BCA" w:rsidRPr="00833A76">
        <w:rPr>
          <w:rFonts w:ascii="Times New Roman" w:hAnsi="Times New Roman" w:cs="Times New Roman"/>
          <w:sz w:val="24"/>
          <w:szCs w:val="24"/>
        </w:rPr>
        <w:t xml:space="preserve">that supports social transformation. </w:t>
      </w:r>
      <w:r w:rsidR="00FB6FA0" w:rsidRPr="00833A76">
        <w:rPr>
          <w:rFonts w:ascii="Times New Roman" w:hAnsi="Times New Roman" w:cs="Times New Roman"/>
          <w:sz w:val="24"/>
          <w:szCs w:val="24"/>
        </w:rPr>
        <w:t xml:space="preserve"> </w:t>
      </w:r>
    </w:p>
    <w:p w:rsidR="008B4B6A"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 xml:space="preserve">Conclusion </w:t>
      </w:r>
    </w:p>
    <w:p w:rsidR="001E63B5"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As I conclude, white fragility is just not about experiencing a low thre</w:t>
      </w:r>
      <w:r w:rsidRPr="00833A76">
        <w:rPr>
          <w:rFonts w:ascii="Times New Roman" w:hAnsi="Times New Roman" w:cs="Times New Roman"/>
          <w:sz w:val="24"/>
          <w:szCs w:val="24"/>
        </w:rPr>
        <w:t xml:space="preserve">shold for discomfort, but it is also about the inert sense of being. White fragility consolidates daily because they perform it with arrogance to indicate that they are superior and privileged. To sort out </w:t>
      </w:r>
      <w:r w:rsidR="0060698E" w:rsidRPr="00833A76">
        <w:rPr>
          <w:rFonts w:ascii="Times New Roman" w:hAnsi="Times New Roman" w:cs="Times New Roman"/>
          <w:sz w:val="24"/>
          <w:szCs w:val="24"/>
        </w:rPr>
        <w:t>fragility, the</w:t>
      </w:r>
      <w:r w:rsidRPr="00833A76">
        <w:rPr>
          <w:rFonts w:ascii="Times New Roman" w:hAnsi="Times New Roman" w:cs="Times New Roman"/>
          <w:sz w:val="24"/>
          <w:szCs w:val="24"/>
        </w:rPr>
        <w:t xml:space="preserve"> whites should strengthen their psyc</w:t>
      </w:r>
      <w:r w:rsidRPr="00833A76">
        <w:rPr>
          <w:rFonts w:ascii="Times New Roman" w:hAnsi="Times New Roman" w:cs="Times New Roman"/>
          <w:sz w:val="24"/>
          <w:szCs w:val="24"/>
        </w:rPr>
        <w:t xml:space="preserve">hosocial stamina and develop the resilience to admit the violence they endorse. If the recommendation offered above are implemented effectively, I believe that fragility can be solved, and everyone will be considered equal.  </w:t>
      </w:r>
    </w:p>
    <w:p w:rsidR="001E63B5" w:rsidRPr="00833A76" w:rsidRDefault="001E63B5" w:rsidP="00833A76">
      <w:pPr>
        <w:spacing w:line="480" w:lineRule="auto"/>
        <w:rPr>
          <w:rFonts w:ascii="Times New Roman" w:hAnsi="Times New Roman" w:cs="Times New Roman"/>
          <w:sz w:val="24"/>
          <w:szCs w:val="24"/>
        </w:rPr>
      </w:pPr>
    </w:p>
    <w:p w:rsidR="0060698E" w:rsidRPr="00833A76" w:rsidRDefault="0060698E" w:rsidP="00833A76">
      <w:pPr>
        <w:spacing w:line="480" w:lineRule="auto"/>
        <w:rPr>
          <w:rFonts w:ascii="Times New Roman" w:hAnsi="Times New Roman" w:cs="Times New Roman"/>
          <w:sz w:val="24"/>
          <w:szCs w:val="24"/>
        </w:rPr>
      </w:pPr>
    </w:p>
    <w:p w:rsidR="0096157D" w:rsidRPr="00833A76" w:rsidRDefault="00833A76" w:rsidP="00833A76">
      <w:pPr>
        <w:spacing w:line="480" w:lineRule="auto"/>
        <w:jc w:val="center"/>
        <w:rPr>
          <w:rFonts w:ascii="Times New Roman" w:hAnsi="Times New Roman" w:cs="Times New Roman"/>
          <w:b/>
          <w:sz w:val="24"/>
          <w:szCs w:val="24"/>
        </w:rPr>
      </w:pPr>
      <w:r w:rsidRPr="00833A76">
        <w:rPr>
          <w:rFonts w:ascii="Times New Roman" w:hAnsi="Times New Roman" w:cs="Times New Roman"/>
          <w:b/>
          <w:sz w:val="24"/>
          <w:szCs w:val="24"/>
        </w:rPr>
        <w:t>Problematising ‘Toxic’ and ‘</w:t>
      </w:r>
      <w:r w:rsidRPr="00833A76">
        <w:rPr>
          <w:rFonts w:ascii="Times New Roman" w:hAnsi="Times New Roman" w:cs="Times New Roman"/>
          <w:b/>
          <w:sz w:val="24"/>
          <w:szCs w:val="24"/>
        </w:rPr>
        <w:t>Healthy’ Masculinity for Addressing Gender Inequalities</w:t>
      </w:r>
    </w:p>
    <w:p w:rsidR="0096157D"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Introduction</w:t>
      </w:r>
    </w:p>
    <w:p w:rsidR="0096157D"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Gender inequalities are a great challenge that is experienced globally. However, it is mostly portrayed based on gender roles and sexual differences. This article explains how the emergen</w:t>
      </w:r>
      <w:r w:rsidRPr="00833A76">
        <w:rPr>
          <w:rFonts w:ascii="Times New Roman" w:hAnsi="Times New Roman" w:cs="Times New Roman"/>
          <w:sz w:val="24"/>
          <w:szCs w:val="24"/>
        </w:rPr>
        <w:t>ce of "Toxic" and Healthy Masculinity" can be used to address the problem of gender inequalities.</w:t>
      </w:r>
    </w:p>
    <w:p w:rsidR="00BF0A89"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According to Waling (2019), t</w:t>
      </w:r>
      <w:r w:rsidR="007F1933" w:rsidRPr="00833A76">
        <w:rPr>
          <w:rFonts w:ascii="Times New Roman" w:hAnsi="Times New Roman" w:cs="Times New Roman"/>
          <w:sz w:val="24"/>
          <w:szCs w:val="24"/>
        </w:rPr>
        <w:t>he concept of "Toxic" emerged as a result of men's violence against women and their strong health grief without seeking help. On the other side, "Healthy" is an after reaction to "Toxic Masculinity," which motivates men to continue engaging themselves by expressing masculinity that is harmless as an approach to addressing the issue of gender inequality</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 xml:space="preserve">(Waling </w:t>
      </w:r>
      <w:r w:rsidRPr="00833A76">
        <w:rPr>
          <w:rFonts w:ascii="Times New Roman" w:hAnsi="Times New Roman" w:cs="Times New Roman"/>
          <w:sz w:val="24"/>
          <w:szCs w:val="24"/>
        </w:rPr>
        <w:t>2019</w:t>
      </w:r>
      <w:r w:rsidRPr="00833A76">
        <w:rPr>
          <w:rFonts w:ascii="Times New Roman" w:hAnsi="Times New Roman" w:cs="Times New Roman"/>
          <w:sz w:val="24"/>
          <w:szCs w:val="24"/>
        </w:rPr>
        <w:t>)</w:t>
      </w:r>
      <w:r w:rsidR="007F1933" w:rsidRPr="00833A76">
        <w:rPr>
          <w:rFonts w:ascii="Times New Roman" w:hAnsi="Times New Roman" w:cs="Times New Roman"/>
          <w:sz w:val="24"/>
          <w:szCs w:val="24"/>
        </w:rPr>
        <w:t>.</w:t>
      </w:r>
      <w:r w:rsidR="00B8084C" w:rsidRPr="00833A76">
        <w:rPr>
          <w:rFonts w:ascii="Times New Roman" w:hAnsi="Times New Roman" w:cs="Times New Roman"/>
          <w:sz w:val="24"/>
          <w:szCs w:val="24"/>
        </w:rPr>
        <w:t xml:space="preserve"> Healthy masculinity is viewed as something positive because it is a way that teaches boys and men about their responsibilities as masculine.  </w:t>
      </w:r>
    </w:p>
    <w:p w:rsidR="00846C9A"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Waling (2019</w:t>
      </w:r>
      <w:r w:rsidRPr="00833A76">
        <w:rPr>
          <w:rFonts w:ascii="Times New Roman" w:hAnsi="Times New Roman" w:cs="Times New Roman"/>
          <w:sz w:val="24"/>
          <w:szCs w:val="24"/>
        </w:rPr>
        <w:t>)</w:t>
      </w:r>
      <w:r w:rsidR="00B8084C" w:rsidRPr="00833A76">
        <w:rPr>
          <w:rFonts w:ascii="Times New Roman" w:hAnsi="Times New Roman" w:cs="Times New Roman"/>
          <w:sz w:val="24"/>
          <w:szCs w:val="24"/>
        </w:rPr>
        <w:t xml:space="preserve"> </w:t>
      </w:r>
      <w:r w:rsidRPr="00833A76">
        <w:rPr>
          <w:rFonts w:ascii="Times New Roman" w:hAnsi="Times New Roman" w:cs="Times New Roman"/>
          <w:sz w:val="24"/>
          <w:szCs w:val="24"/>
        </w:rPr>
        <w:t xml:space="preserve">also said that </w:t>
      </w:r>
      <w:r w:rsidR="00B8084C" w:rsidRPr="00833A76">
        <w:rPr>
          <w:rFonts w:ascii="Times New Roman" w:hAnsi="Times New Roman" w:cs="Times New Roman"/>
          <w:sz w:val="24"/>
          <w:szCs w:val="24"/>
        </w:rPr>
        <w:t>this perspective of health masculinity could be why feminist arise. As a result, men must scrap the oppressive times of manhood because of masculine and support the hypocrisy of power relations that is gender-biased.</w:t>
      </w:r>
      <w:r w:rsidRPr="00833A76">
        <w:rPr>
          <w:rFonts w:ascii="Times New Roman" w:hAnsi="Times New Roman" w:cs="Times New Roman"/>
          <w:sz w:val="24"/>
          <w:szCs w:val="24"/>
        </w:rPr>
        <w:t xml:space="preserve"> </w:t>
      </w:r>
      <w:r w:rsidR="00B8084C" w:rsidRPr="00833A76">
        <w:rPr>
          <w:rFonts w:ascii="Times New Roman" w:hAnsi="Times New Roman" w:cs="Times New Roman"/>
          <w:sz w:val="24"/>
          <w:szCs w:val="24"/>
        </w:rPr>
        <w:t xml:space="preserve">On the other side, “Toxic masculinity” is </w:t>
      </w:r>
      <w:r w:rsidRPr="00833A76">
        <w:rPr>
          <w:rFonts w:ascii="Times New Roman" w:hAnsi="Times New Roman" w:cs="Times New Roman"/>
          <w:sz w:val="24"/>
          <w:szCs w:val="24"/>
        </w:rPr>
        <w:t>well known for causing aggressiveness and heterosexual behaviors' that bring about sexual and do</w:t>
      </w:r>
      <w:r w:rsidRPr="00833A76">
        <w:rPr>
          <w:rFonts w:ascii="Times New Roman" w:hAnsi="Times New Roman" w:cs="Times New Roman"/>
          <w:sz w:val="24"/>
          <w:szCs w:val="24"/>
        </w:rPr>
        <w:t>mestic violence by men</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 xml:space="preserve">(Waling </w:t>
      </w:r>
      <w:r w:rsidRPr="00833A76">
        <w:rPr>
          <w:rFonts w:ascii="Times New Roman" w:hAnsi="Times New Roman" w:cs="Times New Roman"/>
          <w:sz w:val="24"/>
          <w:szCs w:val="24"/>
        </w:rPr>
        <w:t>2019</w:t>
      </w:r>
      <w:r w:rsidRPr="00833A76">
        <w:rPr>
          <w:rFonts w:ascii="Times New Roman" w:hAnsi="Times New Roman" w:cs="Times New Roman"/>
          <w:sz w:val="24"/>
          <w:szCs w:val="24"/>
        </w:rPr>
        <w:t>). It also causes emotional and mental health complications in men like depression and anxiety.</w:t>
      </w:r>
    </w:p>
    <w:p w:rsidR="00846C9A"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Conclusion</w:t>
      </w:r>
    </w:p>
    <w:p w:rsidR="00BF0A89"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To create an environment that fights gender inequality, people should not involve themselves in using terms such a</w:t>
      </w:r>
      <w:r w:rsidRPr="00833A76">
        <w:rPr>
          <w:rFonts w:ascii="Times New Roman" w:hAnsi="Times New Roman" w:cs="Times New Roman"/>
          <w:sz w:val="24"/>
          <w:szCs w:val="24"/>
        </w:rPr>
        <w:t>s "</w:t>
      </w:r>
      <w:r w:rsidRPr="00833A76">
        <w:rPr>
          <w:rFonts w:ascii="Times New Roman" w:hAnsi="Times New Roman" w:cs="Times New Roman"/>
          <w:sz w:val="24"/>
          <w:szCs w:val="24"/>
        </w:rPr>
        <w:t>tox</w:t>
      </w:r>
      <w:r w:rsidRPr="00833A76">
        <w:rPr>
          <w:rFonts w:ascii="Times New Roman" w:hAnsi="Times New Roman" w:cs="Times New Roman"/>
          <w:sz w:val="24"/>
          <w:szCs w:val="24"/>
        </w:rPr>
        <w:t>ic”</w:t>
      </w:r>
      <w:r w:rsidRPr="00833A76">
        <w:rPr>
          <w:rFonts w:ascii="Times New Roman" w:hAnsi="Times New Roman" w:cs="Times New Roman"/>
          <w:sz w:val="24"/>
          <w:szCs w:val="24"/>
        </w:rPr>
        <w:t xml:space="preserve"> and ‘healthy masculinity’</w:t>
      </w:r>
      <w:r w:rsidRPr="00833A76">
        <w:rPr>
          <w:rFonts w:ascii="Times New Roman" w:hAnsi="Times New Roman" w:cs="Times New Roman"/>
          <w:sz w:val="24"/>
          <w:szCs w:val="24"/>
        </w:rPr>
        <w:t xml:space="preserve"> and strictly focus on criticizing gender binaries that concern the enactment or engagement of a particular gender expression.  </w:t>
      </w:r>
    </w:p>
    <w:p w:rsidR="00BF0A89" w:rsidRPr="00833A76" w:rsidRDefault="00BF0A89" w:rsidP="00833A76">
      <w:pPr>
        <w:spacing w:line="480" w:lineRule="auto"/>
        <w:rPr>
          <w:rFonts w:ascii="Times New Roman" w:hAnsi="Times New Roman" w:cs="Times New Roman"/>
          <w:sz w:val="24"/>
          <w:szCs w:val="24"/>
        </w:rPr>
      </w:pPr>
    </w:p>
    <w:p w:rsidR="00BF0A89" w:rsidRPr="00833A76" w:rsidRDefault="00BF0A89" w:rsidP="00833A76">
      <w:pPr>
        <w:spacing w:line="480" w:lineRule="auto"/>
        <w:rPr>
          <w:rFonts w:ascii="Times New Roman" w:hAnsi="Times New Roman" w:cs="Times New Roman"/>
          <w:sz w:val="24"/>
          <w:szCs w:val="24"/>
        </w:rPr>
      </w:pPr>
    </w:p>
    <w:p w:rsidR="00BF0A89" w:rsidRPr="00833A76" w:rsidRDefault="00833A76" w:rsidP="00833A76">
      <w:pPr>
        <w:spacing w:line="480" w:lineRule="auto"/>
        <w:jc w:val="center"/>
        <w:rPr>
          <w:rFonts w:ascii="Times New Roman" w:hAnsi="Times New Roman" w:cs="Times New Roman"/>
          <w:b/>
          <w:sz w:val="24"/>
          <w:szCs w:val="24"/>
        </w:rPr>
      </w:pPr>
      <w:r w:rsidRPr="00833A76">
        <w:rPr>
          <w:rFonts w:ascii="Times New Roman" w:hAnsi="Times New Roman" w:cs="Times New Roman"/>
          <w:b/>
          <w:sz w:val="24"/>
          <w:szCs w:val="24"/>
        </w:rPr>
        <w:t>Men, Eating Disorder and the Workplace</w:t>
      </w:r>
    </w:p>
    <w:p w:rsidR="0057195A"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Introduction</w:t>
      </w:r>
    </w:p>
    <w:p w:rsidR="00C8605A"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The connectivity between masculinity </w:t>
      </w:r>
      <w:r w:rsidRPr="00833A76">
        <w:rPr>
          <w:rFonts w:ascii="Times New Roman" w:hAnsi="Times New Roman" w:cs="Times New Roman"/>
          <w:sz w:val="24"/>
          <w:szCs w:val="24"/>
        </w:rPr>
        <w:t>and mental health in the working place, particularly of men with an eating disorder, perceives some level of stigmatization. This is because they may experience psychological disorders or other mental health complications.</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Through the article, the research</w:t>
      </w:r>
      <w:r w:rsidRPr="00833A76">
        <w:rPr>
          <w:rFonts w:ascii="Times New Roman" w:hAnsi="Times New Roman" w:cs="Times New Roman"/>
          <w:sz w:val="24"/>
          <w:szCs w:val="24"/>
        </w:rPr>
        <w:t xml:space="preserve">er also discussed effective </w:t>
      </w:r>
      <w:r w:rsidRPr="00833A76">
        <w:rPr>
          <w:rFonts w:ascii="Times New Roman" w:hAnsi="Times New Roman" w:cs="Times New Roman"/>
          <w:sz w:val="24"/>
          <w:szCs w:val="24"/>
        </w:rPr>
        <w:t>Implications for organizations, clinicians</w:t>
      </w:r>
      <w:r w:rsidRPr="00833A76">
        <w:rPr>
          <w:rFonts w:ascii="Times New Roman" w:hAnsi="Times New Roman" w:cs="Times New Roman"/>
          <w:sz w:val="24"/>
          <w:szCs w:val="24"/>
        </w:rPr>
        <w:t>, and men with EDs</w:t>
      </w:r>
      <w:r w:rsidRPr="00833A76">
        <w:rPr>
          <w:rFonts w:ascii="Times New Roman" w:hAnsi="Times New Roman" w:cs="Times New Roman"/>
          <w:sz w:val="24"/>
          <w:szCs w:val="24"/>
        </w:rPr>
        <w:t>.</w:t>
      </w:r>
    </w:p>
    <w:p w:rsidR="00820377"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Siegel &amp; Sawyer</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w:t>
      </w:r>
      <w:r w:rsidRPr="00833A76">
        <w:rPr>
          <w:rFonts w:ascii="Times New Roman" w:hAnsi="Times New Roman" w:cs="Times New Roman"/>
          <w:sz w:val="24"/>
          <w:szCs w:val="24"/>
        </w:rPr>
        <w:t>2020</w:t>
      </w:r>
      <w:r w:rsidRPr="00833A76">
        <w:rPr>
          <w:rFonts w:ascii="Times New Roman" w:hAnsi="Times New Roman" w:cs="Times New Roman"/>
          <w:sz w:val="24"/>
          <w:szCs w:val="24"/>
        </w:rPr>
        <w:t>)</w:t>
      </w:r>
      <w:r w:rsidR="00C8605A" w:rsidRPr="00833A76">
        <w:rPr>
          <w:rFonts w:ascii="Times New Roman" w:hAnsi="Times New Roman" w:cs="Times New Roman"/>
          <w:sz w:val="24"/>
          <w:szCs w:val="24"/>
        </w:rPr>
        <w:t xml:space="preserve"> writes that men with an eating disorder face different challenges as they try to manage their health status while trying to do masculinity in their workplace. In the analysis, the researcher identified the major themes and discussed them. They include; "fear of stigma and nondisclosure, emotional reactions, coping strategies, and impaired work performance. Additionally, it is very difficult for men with such conditions to </w:t>
      </w:r>
      <w:r w:rsidR="00A15B34" w:rsidRPr="00833A76">
        <w:rPr>
          <w:rFonts w:ascii="Times New Roman" w:hAnsi="Times New Roman" w:cs="Times New Roman"/>
          <w:sz w:val="24"/>
          <w:szCs w:val="24"/>
        </w:rPr>
        <w:t>hide at the workplace and remain unnoticed. Therefore, it gives them a hard time at work, especially when they try to perform masculinity</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(Siegel &amp; Sawyer, 2020)</w:t>
      </w:r>
      <w:r w:rsidR="00A15B34" w:rsidRPr="00833A76">
        <w:rPr>
          <w:rFonts w:ascii="Times New Roman" w:hAnsi="Times New Roman" w:cs="Times New Roman"/>
          <w:sz w:val="24"/>
          <w:szCs w:val="24"/>
        </w:rPr>
        <w:t>.</w:t>
      </w:r>
      <w:r w:rsidR="0003549D" w:rsidRPr="00833A76">
        <w:rPr>
          <w:rFonts w:ascii="Times New Roman" w:hAnsi="Times New Roman" w:cs="Times New Roman"/>
          <w:sz w:val="24"/>
          <w:szCs w:val="24"/>
        </w:rPr>
        <w:t xml:space="preserve"> </w:t>
      </w:r>
    </w:p>
    <w:p w:rsidR="0003549D"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According to </w:t>
      </w:r>
      <w:r w:rsidRPr="00833A76">
        <w:rPr>
          <w:rFonts w:ascii="Times New Roman" w:hAnsi="Times New Roman" w:cs="Times New Roman"/>
          <w:sz w:val="24"/>
          <w:szCs w:val="24"/>
        </w:rPr>
        <w:t xml:space="preserve">Siegel &amp; Sawyer </w:t>
      </w:r>
      <w:r w:rsidRPr="00833A76">
        <w:rPr>
          <w:rFonts w:ascii="Times New Roman" w:hAnsi="Times New Roman" w:cs="Times New Roman"/>
          <w:sz w:val="24"/>
          <w:szCs w:val="24"/>
        </w:rPr>
        <w:t>(</w:t>
      </w:r>
      <w:r w:rsidRPr="00833A76">
        <w:rPr>
          <w:rFonts w:ascii="Times New Roman" w:hAnsi="Times New Roman" w:cs="Times New Roman"/>
          <w:sz w:val="24"/>
          <w:szCs w:val="24"/>
        </w:rPr>
        <w:t>2020</w:t>
      </w:r>
      <w:r w:rsidRPr="00833A76">
        <w:rPr>
          <w:rFonts w:ascii="Times New Roman" w:hAnsi="Times New Roman" w:cs="Times New Roman"/>
          <w:sz w:val="24"/>
          <w:szCs w:val="24"/>
        </w:rPr>
        <w:t>), one of the main challenges t</w:t>
      </w:r>
      <w:r w:rsidRPr="00833A76">
        <w:rPr>
          <w:rFonts w:ascii="Times New Roman" w:hAnsi="Times New Roman" w:cs="Times New Roman"/>
          <w:sz w:val="24"/>
          <w:szCs w:val="24"/>
        </w:rPr>
        <w:t>hat men with EDs experience is that they face difficulties catching up with some strategies in managing the stressors of their condition, their work, and their emotions and behavior. Siegel &amp; Sawyer</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w:t>
      </w:r>
      <w:r w:rsidRPr="00833A76">
        <w:rPr>
          <w:rFonts w:ascii="Times New Roman" w:hAnsi="Times New Roman" w:cs="Times New Roman"/>
          <w:sz w:val="24"/>
          <w:szCs w:val="24"/>
        </w:rPr>
        <w:t>2020</w:t>
      </w:r>
      <w:r w:rsidRPr="00833A76">
        <w:rPr>
          <w:rFonts w:ascii="Times New Roman" w:hAnsi="Times New Roman" w:cs="Times New Roman"/>
          <w:sz w:val="24"/>
          <w:szCs w:val="24"/>
        </w:rPr>
        <w:t xml:space="preserve">) gave out some possible solutions to help men with </w:t>
      </w:r>
      <w:r w:rsidRPr="00833A76">
        <w:rPr>
          <w:rFonts w:ascii="Times New Roman" w:hAnsi="Times New Roman" w:cs="Times New Roman"/>
          <w:sz w:val="24"/>
          <w:szCs w:val="24"/>
        </w:rPr>
        <w:t xml:space="preserve">EDs. Firstly, coworkers and the manager should be aware that men with EDs also have qualifications in various work fields, and they may be employed. Also, through awareness, the employees may help to provide support working environment to those with EDs. </w:t>
      </w:r>
    </w:p>
    <w:p w:rsidR="0003549D"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Conclusion</w:t>
      </w:r>
    </w:p>
    <w:p w:rsidR="00A15B34"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As I sum up, people have different body complications, and they should be supported in any place. </w:t>
      </w:r>
      <w:r w:rsidR="00820377" w:rsidRPr="00833A76">
        <w:rPr>
          <w:rFonts w:ascii="Times New Roman" w:hAnsi="Times New Roman" w:cs="Times New Roman"/>
          <w:sz w:val="24"/>
          <w:szCs w:val="24"/>
        </w:rPr>
        <w:t xml:space="preserve">This article sheds light on people with </w:t>
      </w:r>
      <w:proofErr w:type="gramStart"/>
      <w:r w:rsidR="00820377" w:rsidRPr="00833A76">
        <w:rPr>
          <w:rFonts w:ascii="Times New Roman" w:hAnsi="Times New Roman" w:cs="Times New Roman"/>
          <w:sz w:val="24"/>
          <w:szCs w:val="24"/>
        </w:rPr>
        <w:t>EDs</w:t>
      </w:r>
      <w:proofErr w:type="gramEnd"/>
      <w:r w:rsidR="00820377" w:rsidRPr="00833A76">
        <w:rPr>
          <w:rFonts w:ascii="Times New Roman" w:hAnsi="Times New Roman" w:cs="Times New Roman"/>
          <w:sz w:val="24"/>
          <w:szCs w:val="24"/>
        </w:rPr>
        <w:t xml:space="preserve"> condition, the challenges they face, and effective recommendations to help them. To add to the mentioned recommendations, organizations should also be at the forefront by creating a culture that oversees mental health complications and an open space that enables every individual to express his/her opinion.   </w:t>
      </w:r>
      <w:r w:rsidRPr="00833A76">
        <w:rPr>
          <w:rFonts w:ascii="Times New Roman" w:hAnsi="Times New Roman" w:cs="Times New Roman"/>
          <w:sz w:val="24"/>
          <w:szCs w:val="24"/>
        </w:rPr>
        <w:t xml:space="preserve">  </w:t>
      </w:r>
    </w:p>
    <w:p w:rsidR="004F63B8" w:rsidRPr="00833A76" w:rsidRDefault="004F63B8" w:rsidP="00833A76">
      <w:pPr>
        <w:spacing w:line="480" w:lineRule="auto"/>
        <w:rPr>
          <w:rFonts w:ascii="Times New Roman" w:hAnsi="Times New Roman" w:cs="Times New Roman"/>
          <w:sz w:val="24"/>
          <w:szCs w:val="24"/>
        </w:rPr>
      </w:pPr>
    </w:p>
    <w:p w:rsidR="00CF2419" w:rsidRPr="00833A76" w:rsidRDefault="00833A76" w:rsidP="00833A76">
      <w:pPr>
        <w:spacing w:line="480" w:lineRule="auto"/>
        <w:jc w:val="center"/>
        <w:rPr>
          <w:rFonts w:ascii="Times New Roman" w:hAnsi="Times New Roman" w:cs="Times New Roman"/>
          <w:b/>
          <w:sz w:val="24"/>
          <w:szCs w:val="24"/>
        </w:rPr>
      </w:pPr>
      <w:r w:rsidRPr="00833A76">
        <w:rPr>
          <w:rFonts w:ascii="Times New Roman" w:hAnsi="Times New Roman" w:cs="Times New Roman"/>
          <w:b/>
          <w:sz w:val="24"/>
          <w:szCs w:val="24"/>
        </w:rPr>
        <w:t>Masculinity and Virgin</w:t>
      </w:r>
    </w:p>
    <w:p w:rsidR="00FF1A1E"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Introduction</w:t>
      </w:r>
    </w:p>
    <w:p w:rsidR="00FC0B31"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“Virgin-s</w:t>
      </w:r>
      <w:r w:rsidRPr="00833A76">
        <w:rPr>
          <w:rFonts w:ascii="Times New Roman" w:hAnsi="Times New Roman" w:cs="Times New Roman"/>
          <w:sz w:val="24"/>
          <w:szCs w:val="24"/>
        </w:rPr>
        <w:t>haming” is a concept that explains a state where someone is called out because he lacks sexual experience.</w:t>
      </w:r>
      <w:r w:rsidR="00393719" w:rsidRPr="00833A76">
        <w:rPr>
          <w:rFonts w:ascii="Times New Roman" w:hAnsi="Times New Roman" w:cs="Times New Roman"/>
          <w:sz w:val="24"/>
          <w:szCs w:val="24"/>
        </w:rPr>
        <w:t xml:space="preserve"> However, sexual experience can be linked to the socio-cultural and economic set up of an individual. The researcher carried out some investigation with ten men and collected some information about virgin-shaming. From his results, he found three perspectives. Firstly, virgin-shaming is found in the social environment that aims at maintaining masculinity. Also, sex is seen as a level of achievement of hegemonic masculinity. Thirdly, virgin-shaming is used as a request in reaffirming one's masculinity</w:t>
      </w:r>
      <w:r w:rsidRPr="00833A76">
        <w:rPr>
          <w:rFonts w:ascii="Times New Roman" w:hAnsi="Times New Roman" w:cs="Times New Roman"/>
          <w:sz w:val="24"/>
          <w:szCs w:val="24"/>
        </w:rPr>
        <w:t xml:space="preserve"> as well as a way of making others have sex. This article explores how college students, particularly men, experience criticism for their virgin status. </w:t>
      </w:r>
    </w:p>
    <w:p w:rsidR="004F63B8"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Acc</w:t>
      </w:r>
      <w:r w:rsidRPr="00833A76">
        <w:rPr>
          <w:rFonts w:ascii="Times New Roman" w:hAnsi="Times New Roman" w:cs="Times New Roman"/>
          <w:sz w:val="24"/>
          <w:szCs w:val="24"/>
        </w:rPr>
        <w:t>ording to Fleming &amp; Davis (2018), t</w:t>
      </w:r>
      <w:r w:rsidR="00A03A48" w:rsidRPr="00833A76">
        <w:rPr>
          <w:rFonts w:ascii="Times New Roman" w:hAnsi="Times New Roman" w:cs="Times New Roman"/>
          <w:sz w:val="24"/>
          <w:szCs w:val="24"/>
        </w:rPr>
        <w:t xml:space="preserve">he case of virgin-shaming is very different from the men's and women's perspectives. The reason why men may delay their sexual activity could be the fear of incompetence. Women may also delay their sexual debut because of the fear of getting pregnant, or she has not met her suitable partner to sex with. However, </w:t>
      </w:r>
      <w:r w:rsidR="00BA49D8" w:rsidRPr="00833A76">
        <w:rPr>
          <w:rFonts w:ascii="Times New Roman" w:hAnsi="Times New Roman" w:cs="Times New Roman"/>
          <w:sz w:val="24"/>
          <w:szCs w:val="24"/>
        </w:rPr>
        <w:t>men’s</w:t>
      </w:r>
      <w:r w:rsidR="00A03A48" w:rsidRPr="00833A76">
        <w:rPr>
          <w:rFonts w:ascii="Times New Roman" w:hAnsi="Times New Roman" w:cs="Times New Roman"/>
          <w:sz w:val="24"/>
          <w:szCs w:val="24"/>
        </w:rPr>
        <w:t xml:space="preserve"> sexual arouse is directly connected to biologi</w:t>
      </w:r>
      <w:r w:rsidRPr="00833A76">
        <w:rPr>
          <w:rFonts w:ascii="Times New Roman" w:hAnsi="Times New Roman" w:cs="Times New Roman"/>
          <w:sz w:val="24"/>
          <w:szCs w:val="24"/>
        </w:rPr>
        <w:t>cal processes like adolescence.</w:t>
      </w:r>
      <w:r w:rsidRPr="00833A76">
        <w:rPr>
          <w:rFonts w:ascii="Times New Roman" w:hAnsi="Times New Roman" w:cs="Times New Roman"/>
          <w:sz w:val="24"/>
          <w:szCs w:val="24"/>
        </w:rPr>
        <w:t xml:space="preserve"> </w:t>
      </w:r>
    </w:p>
    <w:p w:rsidR="00BA49D8"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Fleming &amp; Davis (2018) </w:t>
      </w:r>
      <w:r w:rsidRPr="00833A76">
        <w:rPr>
          <w:rFonts w:ascii="Times New Roman" w:hAnsi="Times New Roman" w:cs="Times New Roman"/>
          <w:sz w:val="24"/>
          <w:szCs w:val="24"/>
        </w:rPr>
        <w:t xml:space="preserve">also added that </w:t>
      </w:r>
      <w:r w:rsidR="00A03A48" w:rsidRPr="00833A76">
        <w:rPr>
          <w:rFonts w:ascii="Times New Roman" w:hAnsi="Times New Roman" w:cs="Times New Roman"/>
          <w:sz w:val="24"/>
          <w:szCs w:val="24"/>
        </w:rPr>
        <w:t>the increase in the level of testosterone could also make young men engage themselves in sexual activity.</w:t>
      </w:r>
      <w:r w:rsidRPr="00833A76">
        <w:rPr>
          <w:rFonts w:ascii="Times New Roman" w:hAnsi="Times New Roman" w:cs="Times New Roman"/>
          <w:sz w:val="24"/>
          <w:szCs w:val="24"/>
        </w:rPr>
        <w:t xml:space="preserve"> Some of the close challenges experienced by virgin men could be a social stigma. Social stigma arises from cultural expectations where men are perceived to be more experienced in sexual mat</w:t>
      </w:r>
      <w:r w:rsidRPr="00833A76">
        <w:rPr>
          <w:rFonts w:ascii="Times New Roman" w:hAnsi="Times New Roman" w:cs="Times New Roman"/>
          <w:sz w:val="24"/>
          <w:szCs w:val="24"/>
        </w:rPr>
        <w:t>ters in a relationship</w:t>
      </w:r>
      <w:r w:rsidRPr="00833A76">
        <w:rPr>
          <w:rFonts w:ascii="Times New Roman" w:hAnsi="Times New Roman" w:cs="Times New Roman"/>
          <w:sz w:val="24"/>
          <w:szCs w:val="24"/>
        </w:rPr>
        <w:t xml:space="preserve"> </w:t>
      </w:r>
      <w:r w:rsidRPr="00833A76">
        <w:rPr>
          <w:rFonts w:ascii="Times New Roman" w:hAnsi="Times New Roman" w:cs="Times New Roman"/>
          <w:sz w:val="24"/>
          <w:szCs w:val="24"/>
        </w:rPr>
        <w:t>(Fleming &amp; Davis 2018). Also, the relative social status of an individual who is a virgin in a group of men is always very low since men's virginity is seen as unwanted.</w:t>
      </w:r>
    </w:p>
    <w:p w:rsidR="00BA49D8" w:rsidRPr="00833A76" w:rsidRDefault="00833A76" w:rsidP="00833A76">
      <w:pPr>
        <w:spacing w:line="480" w:lineRule="auto"/>
        <w:rPr>
          <w:rFonts w:ascii="Times New Roman" w:hAnsi="Times New Roman" w:cs="Times New Roman"/>
          <w:b/>
          <w:sz w:val="24"/>
          <w:szCs w:val="24"/>
        </w:rPr>
      </w:pPr>
      <w:r w:rsidRPr="00833A76">
        <w:rPr>
          <w:rFonts w:ascii="Times New Roman" w:hAnsi="Times New Roman" w:cs="Times New Roman"/>
          <w:b/>
          <w:sz w:val="24"/>
          <w:szCs w:val="24"/>
        </w:rPr>
        <w:t>Conclusion</w:t>
      </w:r>
    </w:p>
    <w:p w:rsidR="00196822" w:rsidRPr="00833A76" w:rsidRDefault="00833A76" w:rsidP="00833A76">
      <w:pPr>
        <w:spacing w:line="480" w:lineRule="auto"/>
        <w:ind w:firstLine="720"/>
        <w:rPr>
          <w:rFonts w:ascii="Times New Roman" w:hAnsi="Times New Roman" w:cs="Times New Roman"/>
          <w:sz w:val="24"/>
          <w:szCs w:val="24"/>
        </w:rPr>
      </w:pPr>
      <w:r w:rsidRPr="00833A76">
        <w:rPr>
          <w:rFonts w:ascii="Times New Roman" w:hAnsi="Times New Roman" w:cs="Times New Roman"/>
          <w:sz w:val="24"/>
          <w:szCs w:val="24"/>
        </w:rPr>
        <w:t xml:space="preserve">In my view, virgin-shaming is like a kind of </w:t>
      </w:r>
      <w:r w:rsidRPr="00833A76">
        <w:rPr>
          <w:rFonts w:ascii="Times New Roman" w:hAnsi="Times New Roman" w:cs="Times New Roman"/>
          <w:sz w:val="24"/>
          <w:szCs w:val="24"/>
        </w:rPr>
        <w:t>bullying and a means of suppressing others. Also, it is connected to the case with hegemonic masculinity since it does not provide a blind reaction that triggers social aspects. Having sex should not be connected to the peer to avoid stigmatization, but on</w:t>
      </w:r>
      <w:r w:rsidRPr="00833A76">
        <w:rPr>
          <w:rFonts w:ascii="Times New Roman" w:hAnsi="Times New Roman" w:cs="Times New Roman"/>
          <w:sz w:val="24"/>
          <w:szCs w:val="24"/>
        </w:rPr>
        <w:t>e should also consider the consequences. Although virgin-shaming is different in men and women, women's virginity is more valued than men.</w:t>
      </w:r>
    </w:p>
    <w:p w:rsidR="004F63B8" w:rsidRPr="00833A76" w:rsidRDefault="004F63B8" w:rsidP="00833A76">
      <w:pPr>
        <w:spacing w:line="480" w:lineRule="auto"/>
        <w:rPr>
          <w:rFonts w:ascii="Times New Roman" w:hAnsi="Times New Roman" w:cs="Times New Roman"/>
          <w:sz w:val="24"/>
          <w:szCs w:val="24"/>
        </w:rPr>
      </w:pPr>
    </w:p>
    <w:p w:rsidR="004F63B8" w:rsidRDefault="004F63B8" w:rsidP="00833A76">
      <w:pPr>
        <w:spacing w:line="480" w:lineRule="auto"/>
        <w:rPr>
          <w:rFonts w:ascii="Times New Roman" w:hAnsi="Times New Roman" w:cs="Times New Roman"/>
          <w:sz w:val="24"/>
          <w:szCs w:val="24"/>
        </w:rPr>
      </w:pPr>
    </w:p>
    <w:p w:rsidR="00833A76" w:rsidRPr="00833A76" w:rsidRDefault="00833A76" w:rsidP="00833A76">
      <w:pPr>
        <w:spacing w:line="480" w:lineRule="auto"/>
        <w:rPr>
          <w:rFonts w:ascii="Times New Roman" w:hAnsi="Times New Roman" w:cs="Times New Roman"/>
          <w:sz w:val="24"/>
          <w:szCs w:val="24"/>
        </w:rPr>
      </w:pPr>
    </w:p>
    <w:p w:rsidR="004F63B8" w:rsidRPr="00833A76" w:rsidRDefault="004F63B8" w:rsidP="00833A76">
      <w:pPr>
        <w:spacing w:line="480" w:lineRule="auto"/>
        <w:rPr>
          <w:rFonts w:ascii="Times New Roman" w:hAnsi="Times New Roman" w:cs="Times New Roman"/>
          <w:sz w:val="24"/>
          <w:szCs w:val="24"/>
        </w:rPr>
      </w:pPr>
    </w:p>
    <w:p w:rsidR="004F63B8" w:rsidRPr="00833A76" w:rsidRDefault="00833A76" w:rsidP="00833A76">
      <w:pPr>
        <w:spacing w:line="480" w:lineRule="auto"/>
        <w:jc w:val="center"/>
        <w:rPr>
          <w:rFonts w:ascii="Times New Roman" w:hAnsi="Times New Roman" w:cs="Times New Roman"/>
          <w:b/>
          <w:sz w:val="24"/>
          <w:szCs w:val="24"/>
        </w:rPr>
      </w:pPr>
      <w:r w:rsidRPr="00833A76">
        <w:rPr>
          <w:rFonts w:ascii="Times New Roman" w:hAnsi="Times New Roman" w:cs="Times New Roman"/>
          <w:b/>
          <w:sz w:val="24"/>
          <w:szCs w:val="24"/>
        </w:rPr>
        <w:t>References</w:t>
      </w:r>
    </w:p>
    <w:p w:rsidR="004F63B8" w:rsidRPr="00833A76" w:rsidRDefault="00833A76" w:rsidP="00833A76">
      <w:pPr>
        <w:spacing w:line="480" w:lineRule="auto"/>
        <w:ind w:left="720" w:hanging="720"/>
        <w:rPr>
          <w:rFonts w:ascii="Times New Roman" w:hAnsi="Times New Roman" w:cs="Times New Roman"/>
          <w:sz w:val="24"/>
          <w:szCs w:val="24"/>
        </w:rPr>
      </w:pPr>
      <w:r w:rsidRPr="00833A76">
        <w:rPr>
          <w:rFonts w:ascii="Times New Roman" w:hAnsi="Times New Roman" w:cs="Times New Roman"/>
          <w:sz w:val="24"/>
          <w:szCs w:val="24"/>
        </w:rPr>
        <w:t>Applebaum</w:t>
      </w:r>
      <w:r w:rsidRPr="00833A76">
        <w:rPr>
          <w:rFonts w:ascii="Times New Roman" w:hAnsi="Times New Roman" w:cs="Times New Roman"/>
          <w:sz w:val="24"/>
          <w:szCs w:val="24"/>
        </w:rPr>
        <w:t xml:space="preserve">, B. (2017). Comforting Discomfort as Complicity: White Fragility and the Pursuit of Invulnerability. Hypatia, 32(4), 862–875. </w:t>
      </w:r>
      <w:hyperlink r:id="rId4" w:history="1">
        <w:r w:rsidRPr="00833A76">
          <w:rPr>
            <w:rStyle w:val="Hyperlink"/>
            <w:rFonts w:ascii="Times New Roman" w:hAnsi="Times New Roman" w:cs="Times New Roman"/>
            <w:sz w:val="24"/>
            <w:szCs w:val="24"/>
          </w:rPr>
          <w:t>https://doi-org.proxy.libraries.rutgers.edu/10.111</w:t>
        </w:r>
        <w:r w:rsidRPr="00833A76">
          <w:rPr>
            <w:rStyle w:val="Hyperlink"/>
            <w:rFonts w:ascii="Times New Roman" w:hAnsi="Times New Roman" w:cs="Times New Roman"/>
            <w:sz w:val="24"/>
            <w:szCs w:val="24"/>
          </w:rPr>
          <w:t>1/hypa.12352</w:t>
        </w:r>
      </w:hyperlink>
      <w:r w:rsidRPr="00833A76">
        <w:rPr>
          <w:rFonts w:ascii="Times New Roman" w:hAnsi="Times New Roman" w:cs="Times New Roman"/>
          <w:sz w:val="24"/>
          <w:szCs w:val="24"/>
        </w:rPr>
        <w:t xml:space="preserve"> </w:t>
      </w:r>
    </w:p>
    <w:p w:rsidR="004F63B8" w:rsidRPr="00833A76" w:rsidRDefault="00833A76" w:rsidP="00833A76">
      <w:pPr>
        <w:spacing w:line="480" w:lineRule="auto"/>
        <w:ind w:left="720" w:hanging="720"/>
        <w:rPr>
          <w:rFonts w:ascii="Times New Roman" w:hAnsi="Times New Roman" w:cs="Times New Roman"/>
          <w:sz w:val="24"/>
          <w:szCs w:val="24"/>
        </w:rPr>
      </w:pPr>
      <w:r w:rsidRPr="00833A76">
        <w:rPr>
          <w:rFonts w:ascii="Times New Roman" w:hAnsi="Times New Roman" w:cs="Times New Roman"/>
          <w:sz w:val="24"/>
          <w:szCs w:val="24"/>
        </w:rPr>
        <w:t xml:space="preserve">Fleming, C., &amp; Davis, S. N. (2018). Masculinity and Virgin-Shaming Among College Men. Journal of Men’s Studies, 26(3), 227–246. </w:t>
      </w:r>
      <w:hyperlink r:id="rId5" w:history="1">
        <w:r w:rsidRPr="00833A76">
          <w:rPr>
            <w:rStyle w:val="Hyperlink"/>
            <w:rFonts w:ascii="Times New Roman" w:hAnsi="Times New Roman" w:cs="Times New Roman"/>
            <w:sz w:val="24"/>
            <w:szCs w:val="24"/>
          </w:rPr>
          <w:t>https://doi-org.proxy.librari</w:t>
        </w:r>
        <w:r w:rsidRPr="00833A76">
          <w:rPr>
            <w:rStyle w:val="Hyperlink"/>
            <w:rFonts w:ascii="Times New Roman" w:hAnsi="Times New Roman" w:cs="Times New Roman"/>
            <w:sz w:val="24"/>
            <w:szCs w:val="24"/>
          </w:rPr>
          <w:t>es.rutgers.edu/10.1177/1060826518758974</w:t>
        </w:r>
      </w:hyperlink>
      <w:r w:rsidRPr="00833A76">
        <w:rPr>
          <w:rFonts w:ascii="Times New Roman" w:hAnsi="Times New Roman" w:cs="Times New Roman"/>
          <w:sz w:val="24"/>
          <w:szCs w:val="24"/>
        </w:rPr>
        <w:t xml:space="preserve"> </w:t>
      </w:r>
    </w:p>
    <w:p w:rsidR="004F63B8" w:rsidRPr="00833A76" w:rsidRDefault="00833A76" w:rsidP="00833A76">
      <w:pPr>
        <w:spacing w:line="480" w:lineRule="auto"/>
        <w:ind w:left="720" w:hanging="720"/>
        <w:rPr>
          <w:rFonts w:ascii="Times New Roman" w:hAnsi="Times New Roman" w:cs="Times New Roman"/>
          <w:sz w:val="24"/>
          <w:szCs w:val="24"/>
        </w:rPr>
      </w:pPr>
      <w:r w:rsidRPr="00833A76">
        <w:rPr>
          <w:rFonts w:ascii="Times New Roman" w:hAnsi="Times New Roman" w:cs="Times New Roman"/>
          <w:sz w:val="24"/>
          <w:szCs w:val="24"/>
        </w:rPr>
        <w:t>Schumacher-Martinez, R., &amp; Proctor, S. L. (2020). Untangling the Grip of White Privilege in Education through Consultation and Systems Change: Introduction to the Special Issue. Journal of Educational &amp; Psychologica</w:t>
      </w:r>
      <w:r w:rsidRPr="00833A76">
        <w:rPr>
          <w:rFonts w:ascii="Times New Roman" w:hAnsi="Times New Roman" w:cs="Times New Roman"/>
          <w:sz w:val="24"/>
          <w:szCs w:val="24"/>
        </w:rPr>
        <w:t xml:space="preserve">l Consultation, 30(3), 251–254. </w:t>
      </w:r>
      <w:hyperlink r:id="rId6" w:history="1">
        <w:r w:rsidRPr="00833A76">
          <w:rPr>
            <w:rStyle w:val="Hyperlink"/>
            <w:rFonts w:ascii="Times New Roman" w:hAnsi="Times New Roman" w:cs="Times New Roman"/>
            <w:sz w:val="24"/>
            <w:szCs w:val="24"/>
          </w:rPr>
          <w:t>https://doi-org.proxy.libraries.rutgers.edu/10.1080/10474412.2020.1744447</w:t>
        </w:r>
      </w:hyperlink>
      <w:r w:rsidRPr="00833A76">
        <w:rPr>
          <w:rFonts w:ascii="Times New Roman" w:hAnsi="Times New Roman" w:cs="Times New Roman"/>
          <w:sz w:val="24"/>
          <w:szCs w:val="24"/>
        </w:rPr>
        <w:t xml:space="preserve"> </w:t>
      </w:r>
      <w:r w:rsidRPr="00833A76">
        <w:rPr>
          <w:rFonts w:ascii="Times New Roman" w:hAnsi="Times New Roman" w:cs="Times New Roman"/>
          <w:sz w:val="24"/>
          <w:szCs w:val="24"/>
        </w:rPr>
        <w:t xml:space="preserve">     </w:t>
      </w:r>
    </w:p>
    <w:p w:rsidR="004F63B8" w:rsidRPr="00833A76" w:rsidRDefault="00833A76" w:rsidP="00833A76">
      <w:pPr>
        <w:spacing w:line="480" w:lineRule="auto"/>
        <w:ind w:left="720" w:hanging="720"/>
        <w:rPr>
          <w:rFonts w:ascii="Times New Roman" w:hAnsi="Times New Roman" w:cs="Times New Roman"/>
          <w:sz w:val="24"/>
          <w:szCs w:val="24"/>
        </w:rPr>
      </w:pPr>
      <w:r w:rsidRPr="00833A76">
        <w:rPr>
          <w:rFonts w:ascii="Times New Roman" w:hAnsi="Times New Roman" w:cs="Times New Roman"/>
          <w:sz w:val="24"/>
          <w:szCs w:val="24"/>
        </w:rPr>
        <w:t xml:space="preserve">Siegel, J. A., &amp; Sawyer, K. B. (2020). “We don’t talk </w:t>
      </w:r>
      <w:r w:rsidRPr="00833A76">
        <w:rPr>
          <w:rFonts w:ascii="Times New Roman" w:hAnsi="Times New Roman" w:cs="Times New Roman"/>
          <w:sz w:val="24"/>
          <w:szCs w:val="24"/>
        </w:rPr>
        <w:t xml:space="preserve">about feelings or struggles like that”: White men’s experiences of eating disorders in the workplace. Psychology of Men &amp; Masculinities, 21(4), 533–544. </w:t>
      </w:r>
      <w:hyperlink r:id="rId7" w:history="1">
        <w:r w:rsidRPr="00833A76">
          <w:rPr>
            <w:rStyle w:val="Hyperlink"/>
            <w:rFonts w:ascii="Times New Roman" w:hAnsi="Times New Roman" w:cs="Times New Roman"/>
            <w:sz w:val="24"/>
            <w:szCs w:val="24"/>
          </w:rPr>
          <w:t>https://doi-org.proxy.li</w:t>
        </w:r>
        <w:r w:rsidRPr="00833A76">
          <w:rPr>
            <w:rStyle w:val="Hyperlink"/>
            <w:rFonts w:ascii="Times New Roman" w:hAnsi="Times New Roman" w:cs="Times New Roman"/>
            <w:sz w:val="24"/>
            <w:szCs w:val="24"/>
          </w:rPr>
          <w:t>braries.rutgers.edu/10.1037/men0000253</w:t>
        </w:r>
      </w:hyperlink>
      <w:r w:rsidRPr="00833A76">
        <w:rPr>
          <w:rFonts w:ascii="Times New Roman" w:hAnsi="Times New Roman" w:cs="Times New Roman"/>
          <w:sz w:val="24"/>
          <w:szCs w:val="24"/>
        </w:rPr>
        <w:t xml:space="preserve"> </w:t>
      </w:r>
    </w:p>
    <w:p w:rsidR="004F63B8" w:rsidRPr="00833A76" w:rsidRDefault="00833A76" w:rsidP="00833A76">
      <w:pPr>
        <w:spacing w:line="480" w:lineRule="auto"/>
        <w:ind w:left="720" w:hanging="720"/>
        <w:rPr>
          <w:rFonts w:ascii="Times New Roman" w:hAnsi="Times New Roman" w:cs="Times New Roman"/>
          <w:sz w:val="24"/>
          <w:szCs w:val="24"/>
        </w:rPr>
      </w:pPr>
      <w:r w:rsidRPr="00833A76">
        <w:rPr>
          <w:rFonts w:ascii="Times New Roman" w:hAnsi="Times New Roman" w:cs="Times New Roman"/>
          <w:sz w:val="24"/>
          <w:szCs w:val="24"/>
        </w:rPr>
        <w:t xml:space="preserve">Waling, A. (2019). Problematising “Toxic” and “Healthy” Masculinity for Addressing Gender Inequalities. Australian Feminist Studies, 34(101), 362–375. </w:t>
      </w:r>
      <w:hyperlink r:id="rId8" w:history="1">
        <w:r w:rsidRPr="00833A76">
          <w:rPr>
            <w:rStyle w:val="Hyperlink"/>
            <w:rFonts w:ascii="Times New Roman" w:hAnsi="Times New Roman" w:cs="Times New Roman"/>
            <w:sz w:val="24"/>
            <w:szCs w:val="24"/>
          </w:rPr>
          <w:t>https://doi-org.proxy.libraries.rutgers.edu/10.1080/08164649.2019.1679021</w:t>
        </w:r>
      </w:hyperlink>
      <w:r w:rsidRPr="00833A76">
        <w:rPr>
          <w:rFonts w:ascii="Times New Roman" w:hAnsi="Times New Roman" w:cs="Times New Roman"/>
          <w:sz w:val="24"/>
          <w:szCs w:val="24"/>
        </w:rPr>
        <w:t xml:space="preserve"> </w:t>
      </w:r>
      <w:r w:rsidRPr="00833A76">
        <w:rPr>
          <w:rFonts w:ascii="Times New Roman" w:hAnsi="Times New Roman" w:cs="Times New Roman"/>
          <w:sz w:val="24"/>
          <w:szCs w:val="24"/>
        </w:rPr>
        <w:t xml:space="preserve">  </w:t>
      </w:r>
    </w:p>
    <w:p w:rsidR="004F63B8" w:rsidRPr="00833A76" w:rsidRDefault="004F63B8" w:rsidP="00833A76">
      <w:pPr>
        <w:spacing w:line="480" w:lineRule="auto"/>
        <w:rPr>
          <w:rFonts w:ascii="Times New Roman" w:hAnsi="Times New Roman" w:cs="Times New Roman"/>
          <w:sz w:val="24"/>
          <w:szCs w:val="24"/>
        </w:rPr>
      </w:pPr>
    </w:p>
    <w:p w:rsidR="00820377" w:rsidRPr="00833A76" w:rsidRDefault="00820377" w:rsidP="00833A76">
      <w:pPr>
        <w:spacing w:line="480" w:lineRule="auto"/>
        <w:rPr>
          <w:rFonts w:ascii="Times New Roman" w:hAnsi="Times New Roman" w:cs="Times New Roman"/>
          <w:sz w:val="24"/>
          <w:szCs w:val="24"/>
        </w:rPr>
      </w:pPr>
      <w:bookmarkStart w:id="0" w:name="_GoBack"/>
      <w:bookmarkEnd w:id="0"/>
    </w:p>
    <w:sectPr w:rsidR="00820377" w:rsidRPr="00833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419"/>
    <w:rsid w:val="0003549D"/>
    <w:rsid w:val="00196822"/>
    <w:rsid w:val="001E63B5"/>
    <w:rsid w:val="001F1BCA"/>
    <w:rsid w:val="00217D5B"/>
    <w:rsid w:val="002B4910"/>
    <w:rsid w:val="0032103A"/>
    <w:rsid w:val="00393719"/>
    <w:rsid w:val="003B4A47"/>
    <w:rsid w:val="003D1D0F"/>
    <w:rsid w:val="004F63B8"/>
    <w:rsid w:val="0057195A"/>
    <w:rsid w:val="0060698E"/>
    <w:rsid w:val="007B4721"/>
    <w:rsid w:val="007F1933"/>
    <w:rsid w:val="00805FEB"/>
    <w:rsid w:val="00820377"/>
    <w:rsid w:val="00833A76"/>
    <w:rsid w:val="00846C9A"/>
    <w:rsid w:val="008B4B6A"/>
    <w:rsid w:val="008C6B4B"/>
    <w:rsid w:val="0096157D"/>
    <w:rsid w:val="00A03A48"/>
    <w:rsid w:val="00A15B34"/>
    <w:rsid w:val="00B22024"/>
    <w:rsid w:val="00B8084C"/>
    <w:rsid w:val="00BA49D8"/>
    <w:rsid w:val="00BF0A89"/>
    <w:rsid w:val="00C8605A"/>
    <w:rsid w:val="00C94AD5"/>
    <w:rsid w:val="00CF147E"/>
    <w:rsid w:val="00CF2419"/>
    <w:rsid w:val="00DC52A3"/>
    <w:rsid w:val="00EB1C59"/>
    <w:rsid w:val="00EF7DFD"/>
    <w:rsid w:val="00F84F03"/>
    <w:rsid w:val="00FB6FA0"/>
    <w:rsid w:val="00FC0B31"/>
    <w:rsid w:val="00FF1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9786A-46B9-45F8-B990-BAA3CB662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0A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proxy.libraries.rutgers.edu/10.1080/08164649.2019.1679021" TargetMode="External"/><Relationship Id="rId3" Type="http://schemas.openxmlformats.org/officeDocument/2006/relationships/webSettings" Target="webSettings.xml"/><Relationship Id="rId7" Type="http://schemas.openxmlformats.org/officeDocument/2006/relationships/hyperlink" Target="https://doi-org.proxy.libraries.rutgers.edu/10.1037/men00002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proxy.libraries.rutgers.edu/10.1080/10474412.2020.1744447" TargetMode="External"/><Relationship Id="rId5" Type="http://schemas.openxmlformats.org/officeDocument/2006/relationships/hyperlink" Target="https://doi-org.proxy.libraries.rutgers.edu/10.1177/1060826518758974" TargetMode="External"/><Relationship Id="rId10" Type="http://schemas.openxmlformats.org/officeDocument/2006/relationships/theme" Target="theme/theme1.xml"/><Relationship Id="rId4" Type="http://schemas.openxmlformats.org/officeDocument/2006/relationships/hyperlink" Target="https://doi-org.proxy.libraries.rutgers.edu/10.1111/hypa.1235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1885</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2020-11-12T04:17:00Z</dcterms:created>
  <dcterms:modified xsi:type="dcterms:W3CDTF">2020-11-12T04:17:00Z</dcterms:modified>
</cp:coreProperties>
</file>